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D78F9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/>
          <w:sz w:val="44"/>
          <w:szCs w:val="44"/>
        </w:rPr>
        <w:t>光大兴陇信托有限责任公司</w:t>
      </w:r>
    </w:p>
    <w:p w14:paraId="5413A40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Theme="minorEastAsia" w:hAnsiTheme="minorEastAsia"/>
          <w:sz w:val="44"/>
          <w:szCs w:val="44"/>
        </w:rPr>
        <w:t>2</w:t>
      </w:r>
      <w:r>
        <w:rPr>
          <w:rFonts w:asciiTheme="minorEastAsia" w:hAnsiTheme="minorEastAsia"/>
          <w:sz w:val="44"/>
          <w:szCs w:val="44"/>
        </w:rPr>
        <w:t>02</w:t>
      </w:r>
      <w:r>
        <w:rPr>
          <w:rFonts w:hint="eastAsia" w:asciiTheme="minorEastAsia" w:hAnsiTheme="minorEastAsia"/>
          <w:sz w:val="44"/>
          <w:szCs w:val="44"/>
          <w:lang w:val="en-US" w:eastAsia="zh-CN"/>
        </w:rPr>
        <w:t>4</w:t>
      </w:r>
      <w:r>
        <w:rPr>
          <w:rFonts w:asciiTheme="minorEastAsia" w:hAnsiTheme="minorEastAsia"/>
          <w:sz w:val="44"/>
          <w:szCs w:val="44"/>
        </w:rPr>
        <w:t>年</w:t>
      </w:r>
      <w:r>
        <w:rPr>
          <w:rFonts w:hint="eastAsia" w:asciiTheme="minorEastAsia" w:hAnsiTheme="minorEastAsia"/>
          <w:sz w:val="44"/>
          <w:szCs w:val="44"/>
          <w:lang w:val="en-US" w:eastAsia="zh-CN"/>
        </w:rPr>
        <w:t>2</w:t>
      </w:r>
      <w:r>
        <w:rPr>
          <w:rFonts w:asciiTheme="minorEastAsia" w:hAnsiTheme="minorEastAsia"/>
          <w:sz w:val="44"/>
          <w:szCs w:val="44"/>
        </w:rPr>
        <w:t>季度一般关联交易情况</w:t>
      </w:r>
    </w:p>
    <w:p w14:paraId="07AE082D">
      <w:pPr>
        <w:rPr>
          <w:rFonts w:ascii="仿宋" w:hAnsi="仿宋" w:eastAsia="仿宋"/>
          <w:sz w:val="32"/>
          <w:szCs w:val="32"/>
        </w:rPr>
      </w:pPr>
    </w:p>
    <w:p w14:paraId="6D2BE40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</w:t>
      </w:r>
      <w:r>
        <w:rPr>
          <w:rFonts w:ascii="仿宋" w:hAnsi="仿宋" w:eastAsia="仿宋"/>
          <w:sz w:val="32"/>
          <w:szCs w:val="32"/>
        </w:rPr>
        <w:t>《银行保险机构关联交易管理办法》</w:t>
      </w:r>
      <w:r>
        <w:rPr>
          <w:rFonts w:hint="eastAsia" w:ascii="仿宋" w:hAnsi="仿宋" w:eastAsia="仿宋" w:cs="Times New Roman"/>
          <w:bCs/>
          <w:sz w:val="32"/>
          <w:szCs w:val="32"/>
        </w:rPr>
        <w:t>（</w:t>
      </w:r>
      <w:r>
        <w:rPr>
          <w:rFonts w:ascii="仿宋" w:hAnsi="仿宋" w:eastAsia="仿宋" w:cs="Times New Roman"/>
          <w:bCs/>
          <w:sz w:val="32"/>
          <w:szCs w:val="32"/>
        </w:rPr>
        <w:t>中国银行保险监督管理委员会令〔2022〕1号</w:t>
      </w:r>
      <w:r>
        <w:rPr>
          <w:rFonts w:hint="eastAsia" w:ascii="仿宋" w:hAnsi="仿宋" w:eastAsia="仿宋" w:cs="Times New Roman"/>
          <w:bCs/>
          <w:sz w:val="32"/>
          <w:szCs w:val="32"/>
        </w:rPr>
        <w:t>）、《关于信托公司执行&lt;银行保险机构关联交易管理办法&gt;有关问题的函》的要求，公司的关联交易是指固有财产与关联方、信托财产与关联方发生的关联交易。公司202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Times New Roman"/>
          <w:bCs/>
          <w:sz w:val="32"/>
          <w:szCs w:val="32"/>
        </w:rPr>
        <w:t>年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bCs/>
          <w:sz w:val="32"/>
          <w:szCs w:val="32"/>
        </w:rPr>
        <w:t>季度发生的</w:t>
      </w:r>
      <w:r>
        <w:rPr>
          <w:rFonts w:hint="eastAsia" w:ascii="仿宋" w:hAnsi="仿宋" w:eastAsia="仿宋"/>
          <w:sz w:val="32"/>
          <w:szCs w:val="32"/>
        </w:rPr>
        <w:t>一般关联交易按照公司内部管理制度和授权程序进行了审批，不涉及监管比例规定。现</w:t>
      </w:r>
      <w:r>
        <w:rPr>
          <w:rFonts w:ascii="仿宋" w:hAnsi="仿宋" w:eastAsia="仿宋"/>
          <w:sz w:val="32"/>
          <w:szCs w:val="32"/>
        </w:rPr>
        <w:t>将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季度的一般关联交易情况</w:t>
      </w:r>
      <w:r>
        <w:rPr>
          <w:rFonts w:hint="eastAsia" w:ascii="仿宋" w:hAnsi="仿宋" w:eastAsia="仿宋"/>
          <w:sz w:val="32"/>
          <w:szCs w:val="32"/>
        </w:rPr>
        <w:t>披露</w:t>
      </w:r>
      <w:r>
        <w:rPr>
          <w:rFonts w:ascii="仿宋" w:hAnsi="仿宋" w:eastAsia="仿宋"/>
          <w:sz w:val="32"/>
          <w:szCs w:val="32"/>
        </w:rPr>
        <w:t>如下</w:t>
      </w:r>
      <w:r>
        <w:rPr>
          <w:rFonts w:hint="eastAsia" w:ascii="仿宋" w:hAnsi="仿宋" w:eastAsia="仿宋"/>
          <w:sz w:val="32"/>
          <w:szCs w:val="32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3269"/>
        <w:gridCol w:w="936"/>
        <w:gridCol w:w="2616"/>
      </w:tblGrid>
      <w:tr w14:paraId="2AE5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44" w:type="dxa"/>
            <w:gridSpan w:val="2"/>
            <w:vAlign w:val="center"/>
          </w:tcPr>
          <w:p w14:paraId="26C1CD00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交易类型</w:t>
            </w:r>
          </w:p>
        </w:tc>
        <w:tc>
          <w:tcPr>
            <w:tcW w:w="936" w:type="dxa"/>
            <w:vAlign w:val="center"/>
          </w:tcPr>
          <w:p w14:paraId="030B4A66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笔数</w:t>
            </w:r>
          </w:p>
        </w:tc>
        <w:tc>
          <w:tcPr>
            <w:tcW w:w="2616" w:type="dxa"/>
            <w:vAlign w:val="center"/>
          </w:tcPr>
          <w:p w14:paraId="2BA223A5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发生金额</w:t>
            </w:r>
          </w:p>
          <w:p w14:paraId="6C7D833C"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（万元）</w:t>
            </w:r>
          </w:p>
        </w:tc>
      </w:tr>
      <w:tr w14:paraId="0C894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5" w:type="dxa"/>
            <w:vAlign w:val="center"/>
          </w:tcPr>
          <w:p w14:paraId="417402B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固有财产与关联方交易</w:t>
            </w:r>
          </w:p>
        </w:tc>
        <w:tc>
          <w:tcPr>
            <w:tcW w:w="3269" w:type="dxa"/>
            <w:vAlign w:val="center"/>
          </w:tcPr>
          <w:p w14:paraId="71751089"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其他费用（服务费用、物业管理费等）</w:t>
            </w:r>
          </w:p>
        </w:tc>
        <w:tc>
          <w:tcPr>
            <w:tcW w:w="936" w:type="dxa"/>
            <w:vAlign w:val="center"/>
          </w:tcPr>
          <w:p w14:paraId="71FE6C5F">
            <w:pPr>
              <w:tabs>
                <w:tab w:val="left" w:pos="331"/>
                <w:tab w:val="center" w:pos="480"/>
              </w:tabs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14:paraId="78C16D2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2,080.95</w:t>
            </w:r>
          </w:p>
        </w:tc>
      </w:tr>
      <w:tr w14:paraId="411E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5" w:type="dxa"/>
            <w:vMerge w:val="restart"/>
            <w:vAlign w:val="center"/>
          </w:tcPr>
          <w:p w14:paraId="551838A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信托财产与关联方交易</w:t>
            </w:r>
          </w:p>
          <w:p w14:paraId="3294F9E0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4CC704E1">
            <w:pPr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关联方投资于公司信托产品（含受让公司信托产品受益权，即资金来源于关联方）</w:t>
            </w:r>
          </w:p>
        </w:tc>
        <w:tc>
          <w:tcPr>
            <w:tcW w:w="936" w:type="dxa"/>
            <w:vAlign w:val="center"/>
          </w:tcPr>
          <w:p w14:paraId="79E0363C">
            <w:pPr>
              <w:tabs>
                <w:tab w:val="left" w:pos="231"/>
                <w:tab w:val="center" w:pos="420"/>
              </w:tabs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2616" w:type="dxa"/>
            <w:vAlign w:val="center"/>
          </w:tcPr>
          <w:p w14:paraId="5299E0C5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569.38</w:t>
            </w:r>
          </w:p>
        </w:tc>
      </w:tr>
      <w:tr w14:paraId="7C80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75" w:type="dxa"/>
            <w:vMerge w:val="continue"/>
            <w:vAlign w:val="center"/>
          </w:tcPr>
          <w:p w14:paraId="000DAD4B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612D3176">
            <w:pPr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公司管理的信托产品向关联方支付有关信托管理费用</w:t>
            </w:r>
          </w:p>
        </w:tc>
        <w:tc>
          <w:tcPr>
            <w:tcW w:w="936" w:type="dxa"/>
            <w:vAlign w:val="center"/>
          </w:tcPr>
          <w:p w14:paraId="105F2EBB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1338</w:t>
            </w:r>
          </w:p>
        </w:tc>
        <w:tc>
          <w:tcPr>
            <w:tcW w:w="2616" w:type="dxa"/>
            <w:vAlign w:val="center"/>
          </w:tcPr>
          <w:p w14:paraId="506E02BD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24,590.61</w:t>
            </w:r>
          </w:p>
        </w:tc>
      </w:tr>
      <w:tr w14:paraId="71435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5" w:type="dxa"/>
            <w:vAlign w:val="center"/>
          </w:tcPr>
          <w:p w14:paraId="63345DE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合计</w:t>
            </w:r>
          </w:p>
        </w:tc>
        <w:tc>
          <w:tcPr>
            <w:tcW w:w="3269" w:type="dxa"/>
            <w:vAlign w:val="center"/>
          </w:tcPr>
          <w:p w14:paraId="3D56189F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8E4F38E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1577</w:t>
            </w:r>
          </w:p>
        </w:tc>
        <w:tc>
          <w:tcPr>
            <w:tcW w:w="2616" w:type="dxa"/>
            <w:vAlign w:val="center"/>
          </w:tcPr>
          <w:p w14:paraId="18B5835C">
            <w:pPr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27,240.94</w:t>
            </w:r>
          </w:p>
        </w:tc>
      </w:tr>
    </w:tbl>
    <w:p w14:paraId="0216B244">
      <w:pPr>
        <w:spacing w:line="560" w:lineRule="exact"/>
        <w:ind w:firstLine="360" w:firstLineChars="200"/>
        <w:rPr>
          <w:rFonts w:ascii="仿宋" w:hAnsi="仿宋" w:eastAsia="仿宋"/>
          <w:sz w:val="18"/>
          <w:szCs w:val="18"/>
        </w:rPr>
      </w:pPr>
    </w:p>
    <w:p w14:paraId="5E794F53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0FA01728">
      <w:pPr>
        <w:ind w:firstLine="640"/>
        <w:jc w:val="right"/>
        <w:rPr>
          <w:rFonts w:ascii="仿宋" w:hAnsi="仿宋" w:eastAsia="仿宋" w:cs="AdobeHeitiStd-Regular"/>
          <w:kern w:val="0"/>
          <w:sz w:val="32"/>
          <w:szCs w:val="32"/>
        </w:rPr>
      </w:pPr>
      <w:r>
        <w:rPr>
          <w:rFonts w:hint="eastAsia" w:ascii="仿宋" w:hAnsi="仿宋" w:eastAsia="仿宋" w:cs="AdobeHeitiStd-Regular"/>
          <w:kern w:val="0"/>
          <w:sz w:val="32"/>
          <w:szCs w:val="32"/>
        </w:rPr>
        <w:t>光大兴陇</w:t>
      </w:r>
      <w:r>
        <w:rPr>
          <w:rFonts w:ascii="仿宋" w:hAnsi="仿宋" w:eastAsia="仿宋" w:cs="AdobeHeitiStd-Regular"/>
          <w:kern w:val="0"/>
          <w:sz w:val="32"/>
          <w:szCs w:val="32"/>
        </w:rPr>
        <w:t>信托有限责任公司</w:t>
      </w:r>
    </w:p>
    <w:p w14:paraId="43671931">
      <w:pPr>
        <w:ind w:right="640" w:firstLine="640"/>
        <w:jc w:val="right"/>
        <w:rPr>
          <w:rFonts w:ascii="黑体" w:hAnsi="黑体" w:eastAsia="黑体"/>
          <w:sz w:val="32"/>
          <w:szCs w:val="32"/>
        </w:rPr>
      </w:pPr>
      <w:r>
        <w:rPr>
          <w:rFonts w:ascii="仿宋" w:hAnsi="仿宋" w:eastAsia="仿宋" w:cs="AdobeHeitiStd-Regular"/>
          <w:kern w:val="0"/>
          <w:sz w:val="32"/>
          <w:szCs w:val="32"/>
        </w:rPr>
        <w:t>202</w:t>
      </w:r>
      <w:r>
        <w:rPr>
          <w:rFonts w:hint="eastAsia" w:ascii="仿宋" w:hAnsi="仿宋" w:eastAsia="仿宋" w:cs="AdobeHeitiStd-Regular"/>
          <w:kern w:val="0"/>
          <w:sz w:val="32"/>
          <w:szCs w:val="32"/>
        </w:rPr>
        <w:t>4</w:t>
      </w:r>
      <w:r>
        <w:rPr>
          <w:rFonts w:ascii="仿宋" w:hAnsi="仿宋" w:eastAsia="仿宋" w:cs="AdobeHeitiStd-Regular"/>
          <w:kern w:val="0"/>
          <w:sz w:val="32"/>
          <w:szCs w:val="32"/>
        </w:rPr>
        <w:t>年</w:t>
      </w:r>
      <w:r>
        <w:rPr>
          <w:rFonts w:hint="eastAsia" w:ascii="仿宋" w:hAnsi="仿宋" w:eastAsia="仿宋" w:cs="AdobeHeitiStd-Regular"/>
          <w:kern w:val="0"/>
          <w:sz w:val="32"/>
          <w:szCs w:val="32"/>
          <w:lang w:val="en-US" w:eastAsia="zh-CN"/>
        </w:rPr>
        <w:t>7</w:t>
      </w:r>
      <w:r>
        <w:rPr>
          <w:rFonts w:ascii="仿宋" w:hAnsi="仿宋" w:eastAsia="仿宋" w:cs="AdobeHeitiStd-Regular"/>
          <w:kern w:val="0"/>
          <w:sz w:val="32"/>
          <w:szCs w:val="32"/>
        </w:rPr>
        <w:t>月</w:t>
      </w:r>
      <w:r>
        <w:rPr>
          <w:rFonts w:hint="eastAsia" w:ascii="仿宋" w:hAnsi="仿宋" w:eastAsia="仿宋" w:cs="AdobeHeitiStd-Regular"/>
          <w:kern w:val="0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ascii="仿宋" w:hAnsi="仿宋" w:eastAsia="仿宋" w:cs="AdobeHeitiStd-Regular"/>
          <w:kern w:val="0"/>
          <w:sz w:val="32"/>
          <w:szCs w:val="32"/>
        </w:rPr>
        <w:t>日</w:t>
      </w:r>
    </w:p>
    <w:p w14:paraId="6FB06576"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HeitiStd-Regular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mNjBhZDJkNjFlNzU0NWM0NjE1YzExYTk4Y2EzMDMifQ=="/>
  </w:docVars>
  <w:rsids>
    <w:rsidRoot w:val="0034530D"/>
    <w:rsid w:val="00035589"/>
    <w:rsid w:val="000570A7"/>
    <w:rsid w:val="000635DC"/>
    <w:rsid w:val="000F146A"/>
    <w:rsid w:val="00166A0C"/>
    <w:rsid w:val="0034530D"/>
    <w:rsid w:val="00370898"/>
    <w:rsid w:val="003736D5"/>
    <w:rsid w:val="00376D03"/>
    <w:rsid w:val="0038424A"/>
    <w:rsid w:val="003A6117"/>
    <w:rsid w:val="00423ADF"/>
    <w:rsid w:val="004330A5"/>
    <w:rsid w:val="0048302D"/>
    <w:rsid w:val="005A4353"/>
    <w:rsid w:val="005F2D13"/>
    <w:rsid w:val="006370D8"/>
    <w:rsid w:val="00644E4A"/>
    <w:rsid w:val="00696FE5"/>
    <w:rsid w:val="006C402E"/>
    <w:rsid w:val="006E76AF"/>
    <w:rsid w:val="007355B6"/>
    <w:rsid w:val="0081147C"/>
    <w:rsid w:val="008537B4"/>
    <w:rsid w:val="00882226"/>
    <w:rsid w:val="008A10B7"/>
    <w:rsid w:val="008E3CAC"/>
    <w:rsid w:val="00924339"/>
    <w:rsid w:val="00940672"/>
    <w:rsid w:val="00965179"/>
    <w:rsid w:val="009A00EF"/>
    <w:rsid w:val="009D7BFA"/>
    <w:rsid w:val="00A2759C"/>
    <w:rsid w:val="00A44659"/>
    <w:rsid w:val="00A67D3E"/>
    <w:rsid w:val="00B30C0B"/>
    <w:rsid w:val="00B44574"/>
    <w:rsid w:val="00BB1893"/>
    <w:rsid w:val="00BC01A5"/>
    <w:rsid w:val="00BC7FE5"/>
    <w:rsid w:val="00C40CA4"/>
    <w:rsid w:val="00CC4DCD"/>
    <w:rsid w:val="00CD7365"/>
    <w:rsid w:val="00D24FDA"/>
    <w:rsid w:val="00D4488C"/>
    <w:rsid w:val="00D6754A"/>
    <w:rsid w:val="00DA490B"/>
    <w:rsid w:val="00DB7E88"/>
    <w:rsid w:val="00DE4C4C"/>
    <w:rsid w:val="00E27ABC"/>
    <w:rsid w:val="00EE11C9"/>
    <w:rsid w:val="00F606F4"/>
    <w:rsid w:val="00F867E6"/>
    <w:rsid w:val="00FE51D4"/>
    <w:rsid w:val="02906142"/>
    <w:rsid w:val="05834792"/>
    <w:rsid w:val="06C526EB"/>
    <w:rsid w:val="130D328E"/>
    <w:rsid w:val="1DE0339F"/>
    <w:rsid w:val="31F57D45"/>
    <w:rsid w:val="3CC653A8"/>
    <w:rsid w:val="3E871A28"/>
    <w:rsid w:val="41393CF5"/>
    <w:rsid w:val="5A0B4A5F"/>
    <w:rsid w:val="61EC387A"/>
    <w:rsid w:val="633A08DD"/>
    <w:rsid w:val="70F71574"/>
    <w:rsid w:val="78B5596E"/>
    <w:rsid w:val="7A6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table" w:customStyle="1" w:styleId="13">
    <w:name w:val="网格型1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批注文字 Char"/>
    <w:basedOn w:val="8"/>
    <w:link w:val="2"/>
    <w:autoRedefine/>
    <w:semiHidden/>
    <w:qFormat/>
    <w:uiPriority w:val="99"/>
  </w:style>
  <w:style w:type="table" w:customStyle="1" w:styleId="15">
    <w:name w:val="网格型2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List Continue 2_7f0a5580-1f52-4c31-9c39-669419a45f90"/>
    <w:basedOn w:val="1"/>
    <w:autoRedefine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341</Words>
  <Characters>393</Characters>
  <Lines>3</Lines>
  <Paragraphs>1</Paragraphs>
  <TotalTime>300</TotalTime>
  <ScaleCrop>false</ScaleCrop>
  <LinksUpToDate>false</LinksUpToDate>
  <CharactersWithSpaces>399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2024-01-23T11:02:00Z</dcterms:created>
  <dc:creator>李梅</dc:creator>
  <cp:lastModifiedBy>李梅</cp:lastModifiedBy>
  <dcterms:modified xsi:type="dcterms:W3CDTF">2024-07-23T06:05:52Z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96C8FC18B28D4E9A83FB78E8BAA0CA08_13</vt:lpwstr>
  </property>
</Properties>
</file>